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C7" w:rsidRPr="005A6062" w:rsidRDefault="00BC44C7" w:rsidP="00BC44C7">
      <w:pPr>
        <w:jc w:val="center"/>
        <w:rPr>
          <w:b/>
          <w:sz w:val="28"/>
          <w:szCs w:val="28"/>
        </w:rPr>
      </w:pPr>
      <w:r w:rsidRPr="005A6062">
        <w:rPr>
          <w:b/>
          <w:sz w:val="28"/>
          <w:szCs w:val="28"/>
        </w:rPr>
        <w:t xml:space="preserve">Кировская область </w:t>
      </w:r>
      <w:proofErr w:type="spellStart"/>
      <w:r w:rsidRPr="005A6062">
        <w:rPr>
          <w:b/>
          <w:sz w:val="28"/>
          <w:szCs w:val="28"/>
        </w:rPr>
        <w:t>Кумёнский</w:t>
      </w:r>
      <w:proofErr w:type="spellEnd"/>
      <w:r w:rsidRPr="005A6062">
        <w:rPr>
          <w:b/>
          <w:sz w:val="28"/>
          <w:szCs w:val="28"/>
        </w:rPr>
        <w:t xml:space="preserve"> район</w:t>
      </w: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  <w:proofErr w:type="spellStart"/>
      <w:r w:rsidRPr="005A6062">
        <w:rPr>
          <w:b/>
          <w:sz w:val="28"/>
          <w:szCs w:val="28"/>
        </w:rPr>
        <w:t>Кумёнское</w:t>
      </w:r>
      <w:proofErr w:type="spellEnd"/>
      <w:r w:rsidRPr="005A6062">
        <w:rPr>
          <w:b/>
          <w:sz w:val="28"/>
          <w:szCs w:val="28"/>
        </w:rPr>
        <w:t xml:space="preserve"> сельское поселение</w:t>
      </w: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  <w:r w:rsidRPr="005A6062">
        <w:rPr>
          <w:b/>
          <w:sz w:val="28"/>
          <w:szCs w:val="28"/>
        </w:rPr>
        <w:t xml:space="preserve">КУМЕНСКАЯ СЕЛЬСКАЯ ДУМА </w:t>
      </w: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ТРЕТЬЕГО </w:t>
      </w:r>
      <w:r w:rsidRPr="005A6062">
        <w:rPr>
          <w:b/>
          <w:sz w:val="28"/>
          <w:szCs w:val="28"/>
        </w:rPr>
        <w:t>СОЗЫВА</w:t>
      </w: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  <w:proofErr w:type="gramStart"/>
      <w:r w:rsidRPr="005A6062">
        <w:rPr>
          <w:b/>
          <w:sz w:val="28"/>
          <w:szCs w:val="28"/>
        </w:rPr>
        <w:t>Р</w:t>
      </w:r>
      <w:proofErr w:type="gramEnd"/>
      <w:r w:rsidRPr="005A6062">
        <w:rPr>
          <w:b/>
          <w:sz w:val="28"/>
          <w:szCs w:val="28"/>
        </w:rPr>
        <w:t xml:space="preserve"> Е Ш Е Н И Е</w:t>
      </w:r>
    </w:p>
    <w:p w:rsidR="00BC44C7" w:rsidRPr="005A6062" w:rsidRDefault="00BC44C7" w:rsidP="00BC44C7">
      <w:pPr>
        <w:jc w:val="center"/>
        <w:rPr>
          <w:b/>
          <w:sz w:val="28"/>
          <w:szCs w:val="28"/>
        </w:rPr>
      </w:pPr>
    </w:p>
    <w:p w:rsidR="00BC44C7" w:rsidRPr="005A6062" w:rsidRDefault="00BC44C7" w:rsidP="00BC44C7">
      <w:pPr>
        <w:jc w:val="center"/>
        <w:rPr>
          <w:sz w:val="28"/>
          <w:szCs w:val="28"/>
        </w:rPr>
      </w:pPr>
      <w:r w:rsidRPr="005A6062">
        <w:rPr>
          <w:sz w:val="28"/>
          <w:szCs w:val="28"/>
        </w:rPr>
        <w:t>от   20.12.20</w:t>
      </w:r>
      <w:r>
        <w:rPr>
          <w:sz w:val="28"/>
          <w:szCs w:val="28"/>
        </w:rPr>
        <w:t>24</w:t>
      </w:r>
      <w:r w:rsidRPr="005A6062">
        <w:rPr>
          <w:sz w:val="28"/>
          <w:szCs w:val="28"/>
        </w:rPr>
        <w:t xml:space="preserve"> № </w:t>
      </w:r>
      <w:r w:rsidR="00004DD9">
        <w:rPr>
          <w:sz w:val="28"/>
          <w:szCs w:val="28"/>
        </w:rPr>
        <w:t>19/91</w:t>
      </w:r>
    </w:p>
    <w:p w:rsidR="00BC44C7" w:rsidRPr="005A6062" w:rsidRDefault="00BC44C7" w:rsidP="00BC44C7">
      <w:pPr>
        <w:jc w:val="center"/>
        <w:rPr>
          <w:sz w:val="28"/>
          <w:szCs w:val="28"/>
        </w:rPr>
      </w:pPr>
      <w:r w:rsidRPr="005A6062">
        <w:rPr>
          <w:sz w:val="28"/>
          <w:szCs w:val="28"/>
        </w:rPr>
        <w:t>д. Березник</w:t>
      </w:r>
    </w:p>
    <w:p w:rsidR="00BC44C7" w:rsidRPr="005A6062" w:rsidRDefault="00BC44C7" w:rsidP="00BC44C7">
      <w:pPr>
        <w:shd w:val="clear" w:color="auto" w:fill="FFFFFF"/>
        <w:ind w:left="11"/>
        <w:jc w:val="both"/>
        <w:rPr>
          <w:sz w:val="28"/>
          <w:szCs w:val="28"/>
        </w:rPr>
      </w:pPr>
    </w:p>
    <w:p w:rsidR="00BC44C7" w:rsidRDefault="00BC44C7" w:rsidP="00BC44C7">
      <w:pPr>
        <w:shd w:val="clear" w:color="auto" w:fill="FFFFFF"/>
        <w:ind w:left="10"/>
        <w:jc w:val="center"/>
        <w:rPr>
          <w:color w:val="000000"/>
          <w:spacing w:val="-10"/>
          <w:sz w:val="28"/>
          <w:szCs w:val="28"/>
        </w:rPr>
      </w:pPr>
      <w:r w:rsidRPr="004A1169">
        <w:rPr>
          <w:sz w:val="28"/>
          <w:szCs w:val="28"/>
        </w:rPr>
        <w:t xml:space="preserve">Об утверждении Прогноза </w:t>
      </w:r>
      <w:r w:rsidRPr="004A1169">
        <w:rPr>
          <w:color w:val="000000"/>
          <w:spacing w:val="-15"/>
          <w:sz w:val="28"/>
          <w:szCs w:val="28"/>
        </w:rPr>
        <w:t>социально-экономического</w:t>
      </w:r>
      <w:r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 w:rsidRPr="004A1169">
        <w:rPr>
          <w:color w:val="000000"/>
          <w:spacing w:val="-10"/>
          <w:sz w:val="28"/>
          <w:szCs w:val="28"/>
        </w:rPr>
        <w:t>азвития</w:t>
      </w:r>
      <w:r>
        <w:rPr>
          <w:color w:val="000000"/>
          <w:spacing w:val="-10"/>
          <w:sz w:val="28"/>
          <w:szCs w:val="28"/>
        </w:rPr>
        <w:t xml:space="preserve"> </w:t>
      </w:r>
    </w:p>
    <w:p w:rsidR="00BC44C7" w:rsidRDefault="00BC44C7" w:rsidP="00BC44C7">
      <w:pPr>
        <w:shd w:val="clear" w:color="auto" w:fill="FFFFFF"/>
        <w:ind w:left="10"/>
        <w:jc w:val="center"/>
        <w:rPr>
          <w:bCs/>
          <w:color w:val="000000"/>
          <w:spacing w:val="-11"/>
          <w:sz w:val="28"/>
          <w:szCs w:val="28"/>
        </w:rPr>
      </w:pPr>
      <w:r w:rsidRPr="004A1169">
        <w:rPr>
          <w:color w:val="000000"/>
          <w:spacing w:val="-10"/>
          <w:sz w:val="28"/>
          <w:szCs w:val="28"/>
        </w:rPr>
        <w:t>муниципального о</w:t>
      </w:r>
      <w:r w:rsidRPr="004A1169">
        <w:rPr>
          <w:color w:val="000000"/>
          <w:spacing w:val="-11"/>
          <w:sz w:val="28"/>
          <w:szCs w:val="28"/>
        </w:rPr>
        <w:t>бразования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4A1169">
        <w:rPr>
          <w:bCs/>
          <w:color w:val="000000"/>
          <w:spacing w:val="-11"/>
          <w:sz w:val="28"/>
          <w:szCs w:val="28"/>
        </w:rPr>
        <w:t>Куменское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</w:t>
      </w:r>
      <w:r w:rsidRPr="004A1169">
        <w:rPr>
          <w:bCs/>
          <w:color w:val="000000"/>
          <w:spacing w:val="-11"/>
          <w:sz w:val="28"/>
          <w:szCs w:val="28"/>
        </w:rPr>
        <w:t>сельское поселение</w:t>
      </w:r>
      <w:r>
        <w:rPr>
          <w:bCs/>
          <w:color w:val="000000"/>
          <w:spacing w:val="-11"/>
          <w:sz w:val="28"/>
          <w:szCs w:val="28"/>
        </w:rPr>
        <w:t xml:space="preserve"> </w:t>
      </w:r>
    </w:p>
    <w:p w:rsidR="00BC44C7" w:rsidRPr="004A1169" w:rsidRDefault="00BC44C7" w:rsidP="00BC44C7">
      <w:pPr>
        <w:shd w:val="clear" w:color="auto" w:fill="FFFFFF"/>
        <w:ind w:left="10"/>
        <w:jc w:val="center"/>
        <w:rPr>
          <w:sz w:val="28"/>
          <w:szCs w:val="28"/>
        </w:rPr>
      </w:pPr>
      <w:r w:rsidRPr="004A1169">
        <w:rPr>
          <w:color w:val="000000"/>
          <w:spacing w:val="-11"/>
          <w:sz w:val="28"/>
          <w:szCs w:val="28"/>
        </w:rPr>
        <w:t>на 20</w:t>
      </w:r>
      <w:r w:rsidR="00176C67">
        <w:rPr>
          <w:color w:val="000000"/>
          <w:spacing w:val="-11"/>
          <w:sz w:val="28"/>
          <w:szCs w:val="28"/>
        </w:rPr>
        <w:t>25</w:t>
      </w:r>
      <w:r w:rsidRPr="004A1169">
        <w:rPr>
          <w:color w:val="000000"/>
          <w:spacing w:val="-11"/>
          <w:sz w:val="28"/>
          <w:szCs w:val="28"/>
        </w:rPr>
        <w:t>-202</w:t>
      </w:r>
      <w:r w:rsidR="00176C67">
        <w:rPr>
          <w:color w:val="000000"/>
          <w:spacing w:val="-11"/>
          <w:sz w:val="28"/>
          <w:szCs w:val="28"/>
        </w:rPr>
        <w:t>7</w:t>
      </w:r>
      <w:r w:rsidRPr="004A1169">
        <w:rPr>
          <w:color w:val="000000"/>
          <w:spacing w:val="-11"/>
          <w:sz w:val="28"/>
          <w:szCs w:val="28"/>
        </w:rPr>
        <w:t xml:space="preserve"> годы</w:t>
      </w:r>
    </w:p>
    <w:p w:rsidR="00BC44C7" w:rsidRDefault="00BC44C7" w:rsidP="00BC44C7">
      <w:pPr>
        <w:shd w:val="clear" w:color="auto" w:fill="FFFFFF"/>
        <w:ind w:left="11"/>
        <w:jc w:val="both"/>
        <w:rPr>
          <w:sz w:val="28"/>
          <w:szCs w:val="28"/>
        </w:rPr>
      </w:pPr>
    </w:p>
    <w:p w:rsidR="00BC44C7" w:rsidRDefault="00BC44C7" w:rsidP="00BC44C7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4 статьи 24 Устава Куменского сельског</w:t>
      </w:r>
      <w:r w:rsidR="00B85660">
        <w:rPr>
          <w:sz w:val="28"/>
          <w:szCs w:val="28"/>
        </w:rPr>
        <w:t>о поселения, рассмотрев Прогноз с</w:t>
      </w:r>
      <w:r w:rsidRPr="004A1169">
        <w:rPr>
          <w:color w:val="000000"/>
          <w:spacing w:val="-15"/>
          <w:sz w:val="28"/>
          <w:szCs w:val="28"/>
        </w:rPr>
        <w:t>оциально-экономического</w:t>
      </w:r>
      <w:r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 w:rsidRPr="004A1169">
        <w:rPr>
          <w:color w:val="000000"/>
          <w:spacing w:val="-10"/>
          <w:sz w:val="28"/>
          <w:szCs w:val="28"/>
        </w:rPr>
        <w:t>азвития</w:t>
      </w:r>
      <w:r>
        <w:rPr>
          <w:color w:val="000000"/>
          <w:spacing w:val="-10"/>
          <w:sz w:val="28"/>
          <w:szCs w:val="28"/>
        </w:rPr>
        <w:t xml:space="preserve"> </w:t>
      </w:r>
      <w:r w:rsidRPr="004A1169">
        <w:rPr>
          <w:color w:val="000000"/>
          <w:spacing w:val="-10"/>
          <w:sz w:val="28"/>
          <w:szCs w:val="28"/>
        </w:rPr>
        <w:t>муниципального о</w:t>
      </w:r>
      <w:r w:rsidRPr="004A1169">
        <w:rPr>
          <w:color w:val="000000"/>
          <w:spacing w:val="-11"/>
          <w:sz w:val="28"/>
          <w:szCs w:val="28"/>
        </w:rPr>
        <w:t>бразования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4A1169">
        <w:rPr>
          <w:bCs/>
          <w:color w:val="000000"/>
          <w:spacing w:val="-11"/>
          <w:sz w:val="28"/>
          <w:szCs w:val="28"/>
        </w:rPr>
        <w:t>Куменское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</w:t>
      </w:r>
      <w:r w:rsidRPr="004A1169">
        <w:rPr>
          <w:bCs/>
          <w:color w:val="000000"/>
          <w:spacing w:val="-11"/>
          <w:sz w:val="28"/>
          <w:szCs w:val="28"/>
        </w:rPr>
        <w:t>сельское поселение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Pr="004A1169">
        <w:rPr>
          <w:color w:val="000000"/>
          <w:spacing w:val="-11"/>
          <w:sz w:val="28"/>
          <w:szCs w:val="28"/>
        </w:rPr>
        <w:t>на 2019-2023 годы</w:t>
      </w:r>
      <w:r>
        <w:rPr>
          <w:color w:val="000000"/>
          <w:spacing w:val="-11"/>
          <w:sz w:val="28"/>
          <w:szCs w:val="28"/>
        </w:rPr>
        <w:t xml:space="preserve">,        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BC44C7" w:rsidRPr="004A1169" w:rsidRDefault="00BC44C7" w:rsidP="00BC44C7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</w:t>
      </w:r>
      <w:r w:rsidRPr="004A1169">
        <w:rPr>
          <w:sz w:val="28"/>
          <w:szCs w:val="28"/>
        </w:rPr>
        <w:t xml:space="preserve">Прогноз </w:t>
      </w:r>
      <w:r w:rsidRPr="004A1169">
        <w:rPr>
          <w:color w:val="000000"/>
          <w:spacing w:val="-15"/>
          <w:sz w:val="28"/>
          <w:szCs w:val="28"/>
        </w:rPr>
        <w:t>социально-экономического</w:t>
      </w:r>
      <w:r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 w:rsidRPr="004A1169">
        <w:rPr>
          <w:color w:val="000000"/>
          <w:spacing w:val="-10"/>
          <w:sz w:val="28"/>
          <w:szCs w:val="28"/>
        </w:rPr>
        <w:t>азвития</w:t>
      </w:r>
      <w:r>
        <w:rPr>
          <w:color w:val="000000"/>
          <w:spacing w:val="-10"/>
          <w:sz w:val="28"/>
          <w:szCs w:val="28"/>
        </w:rPr>
        <w:t xml:space="preserve"> </w:t>
      </w:r>
      <w:r w:rsidRPr="004A1169">
        <w:rPr>
          <w:color w:val="000000"/>
          <w:spacing w:val="-10"/>
          <w:sz w:val="28"/>
          <w:szCs w:val="28"/>
        </w:rPr>
        <w:t>муниципального о</w:t>
      </w:r>
      <w:r w:rsidRPr="004A1169">
        <w:rPr>
          <w:color w:val="000000"/>
          <w:spacing w:val="-11"/>
          <w:sz w:val="28"/>
          <w:szCs w:val="28"/>
        </w:rPr>
        <w:t>бразования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4A1169">
        <w:rPr>
          <w:bCs/>
          <w:color w:val="000000"/>
          <w:spacing w:val="-11"/>
          <w:sz w:val="28"/>
          <w:szCs w:val="28"/>
        </w:rPr>
        <w:t>Куменское</w:t>
      </w:r>
      <w:proofErr w:type="spellEnd"/>
      <w:r>
        <w:rPr>
          <w:bCs/>
          <w:color w:val="000000"/>
          <w:spacing w:val="-11"/>
          <w:sz w:val="28"/>
          <w:szCs w:val="28"/>
        </w:rPr>
        <w:t xml:space="preserve"> </w:t>
      </w:r>
      <w:r w:rsidRPr="004A1169">
        <w:rPr>
          <w:bCs/>
          <w:color w:val="000000"/>
          <w:spacing w:val="-11"/>
          <w:sz w:val="28"/>
          <w:szCs w:val="28"/>
        </w:rPr>
        <w:t>сельское поселение</w:t>
      </w:r>
      <w:r>
        <w:rPr>
          <w:bCs/>
          <w:color w:val="000000"/>
          <w:spacing w:val="-11"/>
          <w:sz w:val="28"/>
          <w:szCs w:val="28"/>
        </w:rPr>
        <w:t xml:space="preserve"> </w:t>
      </w:r>
      <w:r w:rsidRPr="004A1169">
        <w:rPr>
          <w:color w:val="000000"/>
          <w:spacing w:val="-11"/>
          <w:sz w:val="28"/>
          <w:szCs w:val="28"/>
        </w:rPr>
        <w:t>на 20</w:t>
      </w:r>
      <w:r w:rsidR="00176C67">
        <w:rPr>
          <w:color w:val="000000"/>
          <w:spacing w:val="-11"/>
          <w:sz w:val="28"/>
          <w:szCs w:val="28"/>
        </w:rPr>
        <w:t>25</w:t>
      </w:r>
      <w:r w:rsidRPr="004A1169">
        <w:rPr>
          <w:color w:val="000000"/>
          <w:spacing w:val="-11"/>
          <w:sz w:val="28"/>
          <w:szCs w:val="28"/>
        </w:rPr>
        <w:t>-2023 годы</w:t>
      </w:r>
      <w:r>
        <w:rPr>
          <w:color w:val="000000"/>
          <w:spacing w:val="-11"/>
          <w:sz w:val="28"/>
          <w:szCs w:val="28"/>
        </w:rPr>
        <w:t>. Прилагается.</w:t>
      </w:r>
    </w:p>
    <w:p w:rsidR="00BC44C7" w:rsidRPr="00510C74" w:rsidRDefault="00BC44C7" w:rsidP="00BC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Администрации поселения в своей деятельности опираться на основные положения, отраженные в Прогнозе, нацелить деятельность выполнение муниципальных программ и на повышение социально-экономического положения населения,</w:t>
      </w:r>
      <w:r w:rsidRPr="009121F9">
        <w:rPr>
          <w:sz w:val="28"/>
          <w:szCs w:val="28"/>
        </w:rPr>
        <w:t xml:space="preserve"> ежеквартально проводить мониторинг развития ситуации в экономике Куменского </w:t>
      </w:r>
      <w:r>
        <w:rPr>
          <w:sz w:val="28"/>
          <w:szCs w:val="28"/>
        </w:rPr>
        <w:t xml:space="preserve">сельского поселения </w:t>
      </w:r>
      <w:r w:rsidRPr="009121F9">
        <w:rPr>
          <w:sz w:val="28"/>
          <w:szCs w:val="28"/>
        </w:rPr>
        <w:t xml:space="preserve">и информировать  депутатов </w:t>
      </w:r>
      <w:r>
        <w:rPr>
          <w:sz w:val="28"/>
          <w:szCs w:val="28"/>
        </w:rPr>
        <w:t>сельской</w:t>
      </w:r>
      <w:r w:rsidRPr="009121F9">
        <w:rPr>
          <w:sz w:val="28"/>
          <w:szCs w:val="28"/>
        </w:rPr>
        <w:t xml:space="preserve"> Думы об итогах развития </w:t>
      </w:r>
      <w:r>
        <w:rPr>
          <w:sz w:val="28"/>
          <w:szCs w:val="28"/>
        </w:rPr>
        <w:t>поселения</w:t>
      </w:r>
      <w:r w:rsidRPr="009121F9">
        <w:rPr>
          <w:sz w:val="28"/>
          <w:szCs w:val="28"/>
        </w:rPr>
        <w:t xml:space="preserve"> за 6 </w:t>
      </w:r>
      <w:r w:rsidRPr="00510C74">
        <w:rPr>
          <w:sz w:val="28"/>
          <w:szCs w:val="28"/>
        </w:rPr>
        <w:t>месяцев, за год.</w:t>
      </w:r>
    </w:p>
    <w:p w:rsidR="00510C74" w:rsidRPr="00510C74" w:rsidRDefault="00510C74" w:rsidP="00BC44C7">
      <w:pPr>
        <w:jc w:val="both"/>
        <w:rPr>
          <w:sz w:val="28"/>
          <w:szCs w:val="28"/>
        </w:rPr>
      </w:pPr>
      <w:r w:rsidRPr="00510C74">
        <w:rPr>
          <w:sz w:val="28"/>
          <w:szCs w:val="28"/>
        </w:rPr>
        <w:t xml:space="preserve">       3.Решение </w:t>
      </w:r>
      <w:proofErr w:type="spellStart"/>
      <w:r w:rsidRPr="00510C74">
        <w:rPr>
          <w:sz w:val="28"/>
          <w:szCs w:val="28"/>
        </w:rPr>
        <w:t>Куменской</w:t>
      </w:r>
      <w:proofErr w:type="spellEnd"/>
      <w:r w:rsidRPr="00510C74">
        <w:rPr>
          <w:sz w:val="28"/>
          <w:szCs w:val="28"/>
        </w:rPr>
        <w:t xml:space="preserve"> сельской Думы от 20.12.2023 № 12/57 ««Об утверждении Прогноза социально-экономического развития муниципального образования </w:t>
      </w:r>
      <w:proofErr w:type="spellStart"/>
      <w:r w:rsidRPr="00510C74">
        <w:rPr>
          <w:sz w:val="28"/>
          <w:szCs w:val="28"/>
        </w:rPr>
        <w:t>Куменское</w:t>
      </w:r>
      <w:proofErr w:type="spellEnd"/>
      <w:r w:rsidRPr="00510C74">
        <w:rPr>
          <w:sz w:val="28"/>
          <w:szCs w:val="28"/>
        </w:rPr>
        <w:t xml:space="preserve"> сельское поселение на 2024-2026 годы»</w:t>
      </w:r>
      <w:r>
        <w:rPr>
          <w:sz w:val="28"/>
          <w:szCs w:val="28"/>
        </w:rPr>
        <w:t xml:space="preserve"> считать утратившим силу.</w:t>
      </w:r>
    </w:p>
    <w:p w:rsidR="00BC44C7" w:rsidRPr="004175ED" w:rsidRDefault="00510C74" w:rsidP="00BC44C7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44C7" w:rsidRPr="00510C74">
        <w:rPr>
          <w:sz w:val="28"/>
          <w:szCs w:val="28"/>
        </w:rPr>
        <w:t>. Опубликовать настоящее решение в Информационном бюллетене Куменского сельского поселения</w:t>
      </w:r>
      <w:r w:rsidR="00BC44C7" w:rsidRPr="00510C74">
        <w:rPr>
          <w:rFonts w:eastAsia="Calibri"/>
          <w:sz w:val="28"/>
          <w:szCs w:val="28"/>
        </w:rPr>
        <w:t xml:space="preserve"> и разместить</w:t>
      </w:r>
      <w:r w:rsidR="00BC44C7" w:rsidRPr="004175ED">
        <w:rPr>
          <w:rFonts w:eastAsia="Calibri"/>
          <w:sz w:val="28"/>
          <w:szCs w:val="28"/>
        </w:rPr>
        <w:t xml:space="preserve"> в сети «Интернет» на официальном  сайте </w:t>
      </w:r>
      <w:r w:rsidR="00BC44C7">
        <w:rPr>
          <w:rFonts w:eastAsia="Calibri"/>
          <w:sz w:val="28"/>
          <w:szCs w:val="28"/>
        </w:rPr>
        <w:t xml:space="preserve">администрации </w:t>
      </w:r>
      <w:r w:rsidR="00BC44C7" w:rsidRPr="004175ED">
        <w:rPr>
          <w:rFonts w:eastAsia="Calibri"/>
          <w:sz w:val="28"/>
          <w:szCs w:val="28"/>
        </w:rPr>
        <w:t>Куменского сельского поселения</w:t>
      </w:r>
      <w:r w:rsidR="00BC44C7" w:rsidRPr="004175ED">
        <w:rPr>
          <w:sz w:val="28"/>
          <w:szCs w:val="28"/>
        </w:rPr>
        <w:t>.</w:t>
      </w:r>
    </w:p>
    <w:p w:rsidR="00BC44C7" w:rsidRDefault="00BC44C7" w:rsidP="00BC44C7">
      <w:pPr>
        <w:ind w:firstLine="159"/>
        <w:rPr>
          <w:sz w:val="28"/>
          <w:szCs w:val="28"/>
        </w:rPr>
      </w:pPr>
    </w:p>
    <w:p w:rsidR="00BC44C7" w:rsidRDefault="00BC44C7" w:rsidP="00BC44C7">
      <w:pPr>
        <w:rPr>
          <w:sz w:val="28"/>
          <w:szCs w:val="28"/>
        </w:rPr>
      </w:pPr>
    </w:p>
    <w:p w:rsidR="00BC44C7" w:rsidRDefault="00BC44C7" w:rsidP="00BC44C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Куменской</w:t>
      </w:r>
      <w:proofErr w:type="spellEnd"/>
    </w:p>
    <w:p w:rsidR="00BC44C7" w:rsidRDefault="00BC44C7" w:rsidP="00BC44C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</w:t>
      </w:r>
      <w:proofErr w:type="spellStart"/>
      <w:r>
        <w:rPr>
          <w:sz w:val="28"/>
          <w:szCs w:val="28"/>
        </w:rPr>
        <w:t>А.Г.Прокашева</w:t>
      </w:r>
      <w:proofErr w:type="spellEnd"/>
    </w:p>
    <w:p w:rsidR="00BC44C7" w:rsidRDefault="00BC44C7" w:rsidP="00BC44C7">
      <w:pPr>
        <w:rPr>
          <w:sz w:val="28"/>
          <w:szCs w:val="28"/>
        </w:rPr>
      </w:pPr>
    </w:p>
    <w:p w:rsidR="00BC44C7" w:rsidRPr="00A9676D" w:rsidRDefault="00BC44C7" w:rsidP="00BC44C7">
      <w:pPr>
        <w:rPr>
          <w:sz w:val="28"/>
          <w:szCs w:val="28"/>
        </w:rPr>
      </w:pPr>
      <w:r w:rsidRPr="00A9676D">
        <w:rPr>
          <w:sz w:val="28"/>
          <w:szCs w:val="28"/>
        </w:rPr>
        <w:t xml:space="preserve">Глава Куменского </w:t>
      </w:r>
    </w:p>
    <w:p w:rsidR="00BC44C7" w:rsidRPr="009D29F5" w:rsidRDefault="00BC44C7" w:rsidP="00BC44C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>
        <w:rPr>
          <w:szCs w:val="28"/>
        </w:rPr>
        <w:t xml:space="preserve">                                Н</w:t>
      </w:r>
      <w:r w:rsidRPr="009D29F5">
        <w:rPr>
          <w:sz w:val="28"/>
          <w:szCs w:val="28"/>
        </w:rPr>
        <w:t>.И.Ш</w:t>
      </w:r>
      <w:r>
        <w:rPr>
          <w:sz w:val="28"/>
          <w:szCs w:val="28"/>
        </w:rPr>
        <w:t>ибанов</w:t>
      </w:r>
      <w:r w:rsidRPr="009D29F5">
        <w:rPr>
          <w:sz w:val="28"/>
          <w:szCs w:val="28"/>
        </w:rPr>
        <w:t xml:space="preserve">   </w:t>
      </w:r>
    </w:p>
    <w:p w:rsidR="00BC44C7" w:rsidRDefault="00BC44C7" w:rsidP="00BC44C7">
      <w:pPr>
        <w:rPr>
          <w:sz w:val="28"/>
          <w:szCs w:val="28"/>
        </w:rPr>
      </w:pPr>
    </w:p>
    <w:p w:rsidR="00BC44C7" w:rsidRDefault="00BC44C7" w:rsidP="00BC44C7">
      <w:pPr>
        <w:rPr>
          <w:sz w:val="28"/>
          <w:szCs w:val="28"/>
        </w:rPr>
      </w:pPr>
    </w:p>
    <w:p w:rsidR="00DF5C12" w:rsidRDefault="00DF5C12"/>
    <w:p w:rsidR="00B85660" w:rsidRDefault="00B85660" w:rsidP="00B85660"/>
    <w:p w:rsidR="00B85660" w:rsidRPr="00E61029" w:rsidRDefault="00B85660" w:rsidP="00B85660">
      <w:pPr>
        <w:rPr>
          <w:sz w:val="28"/>
        </w:rPr>
      </w:pPr>
      <w:r w:rsidRPr="00E61029">
        <w:rPr>
          <w:sz w:val="28"/>
        </w:rPr>
        <w:t xml:space="preserve">                                                                                    Приложение к решению</w:t>
      </w:r>
    </w:p>
    <w:p w:rsidR="00B85660" w:rsidRPr="00E61029" w:rsidRDefault="00B85660" w:rsidP="00B85660">
      <w:pPr>
        <w:rPr>
          <w:sz w:val="28"/>
        </w:rPr>
      </w:pPr>
      <w:r w:rsidRPr="00E61029">
        <w:rPr>
          <w:sz w:val="28"/>
        </w:rPr>
        <w:t xml:space="preserve">                                                                                    </w:t>
      </w:r>
      <w:proofErr w:type="spellStart"/>
      <w:r>
        <w:rPr>
          <w:sz w:val="28"/>
        </w:rPr>
        <w:t>Куменс</w:t>
      </w:r>
      <w:r w:rsidRPr="00E61029">
        <w:rPr>
          <w:sz w:val="28"/>
        </w:rPr>
        <w:t>кой</w:t>
      </w:r>
      <w:proofErr w:type="spellEnd"/>
      <w:r w:rsidRPr="00E61029">
        <w:rPr>
          <w:sz w:val="28"/>
        </w:rPr>
        <w:t xml:space="preserve"> сельской Думы</w:t>
      </w:r>
    </w:p>
    <w:p w:rsidR="00B85660" w:rsidRDefault="00B85660" w:rsidP="00B85660">
      <w:r w:rsidRPr="00E61029">
        <w:rPr>
          <w:sz w:val="28"/>
        </w:rPr>
        <w:t xml:space="preserve">                                                                                    от </w:t>
      </w:r>
      <w:r>
        <w:rPr>
          <w:sz w:val="28"/>
        </w:rPr>
        <w:t xml:space="preserve">20.12.2024 </w:t>
      </w:r>
      <w:r w:rsidRPr="00E61029">
        <w:rPr>
          <w:sz w:val="28"/>
        </w:rPr>
        <w:t xml:space="preserve">№  </w:t>
      </w:r>
      <w:r>
        <w:rPr>
          <w:sz w:val="28"/>
        </w:rPr>
        <w:t>19</w:t>
      </w:r>
      <w:r w:rsidRPr="00E61029">
        <w:rPr>
          <w:sz w:val="28"/>
        </w:rPr>
        <w:t>/</w:t>
      </w:r>
      <w:r>
        <w:rPr>
          <w:sz w:val="28"/>
        </w:rPr>
        <w:t>91</w:t>
      </w:r>
      <w:r w:rsidRPr="00E61029">
        <w:rPr>
          <w:sz w:val="28"/>
        </w:rPr>
        <w:t xml:space="preserve"> </w:t>
      </w:r>
    </w:p>
    <w:p w:rsidR="00B85660" w:rsidRDefault="00B85660" w:rsidP="00B85660"/>
    <w:tbl>
      <w:tblPr>
        <w:tblW w:w="10490" w:type="dxa"/>
        <w:tblInd w:w="-459" w:type="dxa"/>
        <w:tblLayout w:type="fixed"/>
        <w:tblLook w:val="04A0"/>
      </w:tblPr>
      <w:tblGrid>
        <w:gridCol w:w="2552"/>
        <w:gridCol w:w="1276"/>
        <w:gridCol w:w="1134"/>
        <w:gridCol w:w="1134"/>
        <w:gridCol w:w="1134"/>
        <w:gridCol w:w="1275"/>
        <w:gridCol w:w="993"/>
        <w:gridCol w:w="992"/>
      </w:tblGrid>
      <w:tr w:rsidR="00B85660" w:rsidRPr="004040DE" w:rsidTr="00F14EF8">
        <w:trPr>
          <w:trHeight w:val="27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 xml:space="preserve">Основные показатели прогноза социально-экономического развития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660" w:rsidRPr="004040DE" w:rsidRDefault="00B85660" w:rsidP="00F14E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4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4040D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4040D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040D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040D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040D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B85660" w:rsidRPr="004040DE" w:rsidTr="00F14EF8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>1.Население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Численность постоянного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259AF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259AF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center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</w:t>
            </w:r>
          </w:p>
          <w:p w:rsidR="00B85660" w:rsidRPr="004259AF" w:rsidRDefault="00B85660" w:rsidP="00F14EF8">
            <w:pPr>
              <w:jc w:val="center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proofErr w:type="gramStart"/>
            <w:r w:rsidRPr="004040DE">
              <w:rPr>
                <w:sz w:val="22"/>
                <w:szCs w:val="22"/>
              </w:rPr>
              <w:t>Численность занятых в экономике (среднегодовая, включая лиц, занятых в личном подсобном хозяйстве)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Численность занятого населения в организац</w:t>
            </w:r>
            <w:r>
              <w:rPr>
                <w:sz w:val="22"/>
                <w:szCs w:val="22"/>
              </w:rPr>
              <w:t>иях</w:t>
            </w:r>
            <w:r w:rsidRPr="004040DE">
              <w:rPr>
                <w:sz w:val="22"/>
                <w:szCs w:val="22"/>
              </w:rPr>
              <w:t>, включая занятых по найму у индивидуальных предпринимателей</w:t>
            </w:r>
            <w:r>
              <w:rPr>
                <w:sz w:val="22"/>
                <w:szCs w:val="22"/>
              </w:rPr>
              <w:t xml:space="preserve"> и отдельных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259AF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259AF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259AF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259AF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>2.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Объем инвестиций в основной капитал по полному кругу предприятий и ор</w:t>
            </w:r>
            <w:r>
              <w:rPr>
                <w:sz w:val="22"/>
                <w:szCs w:val="22"/>
              </w:rPr>
              <w:t>га</w:t>
            </w:r>
            <w:r w:rsidRPr="004040DE">
              <w:rPr>
                <w:sz w:val="22"/>
                <w:szCs w:val="22"/>
              </w:rPr>
              <w:t>низаций (включая субъекты малого предпринимательства), по месту фактического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176394,0</w:t>
            </w: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176858</w:t>
            </w: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180473</w:t>
            </w: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177055</w:t>
            </w: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177055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 xml:space="preserve">3. Финансы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Default="00B85660" w:rsidP="00F14EF8">
            <w:pPr>
              <w:jc w:val="both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Прибыль прибыльных предприятий</w:t>
            </w:r>
          </w:p>
          <w:p w:rsidR="00B85660" w:rsidRPr="004040DE" w:rsidRDefault="00B85660" w:rsidP="00F14EF8">
            <w:pPr>
              <w:jc w:val="both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(по полному кругу)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Убыток предприятий по полному кругу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</w:tc>
      </w:tr>
      <w:tr w:rsidR="00B85660" w:rsidRPr="006251E8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6251E8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6251E8">
              <w:rPr>
                <w:b/>
                <w:bCs/>
                <w:sz w:val="22"/>
                <w:szCs w:val="22"/>
              </w:rPr>
              <w:t>4.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6251E8" w:rsidRDefault="00B85660" w:rsidP="00F14EF8">
            <w:pPr>
              <w:jc w:val="center"/>
              <w:rPr>
                <w:sz w:val="22"/>
                <w:szCs w:val="22"/>
              </w:rPr>
            </w:pPr>
            <w:r w:rsidRPr="006251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6251E8" w:rsidRDefault="00B85660" w:rsidP="00F14EF8">
            <w:pPr>
              <w:jc w:val="right"/>
              <w:rPr>
                <w:sz w:val="22"/>
                <w:szCs w:val="22"/>
              </w:rPr>
            </w:pPr>
            <w:r w:rsidRPr="006251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6251E8" w:rsidRDefault="00B85660" w:rsidP="00F14EF8">
            <w:pPr>
              <w:jc w:val="right"/>
              <w:rPr>
                <w:sz w:val="22"/>
                <w:szCs w:val="22"/>
              </w:rPr>
            </w:pPr>
            <w:r w:rsidRPr="006251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6251E8" w:rsidRDefault="00B85660" w:rsidP="00F14EF8">
            <w:pPr>
              <w:jc w:val="right"/>
              <w:rPr>
                <w:sz w:val="22"/>
                <w:szCs w:val="22"/>
              </w:rPr>
            </w:pPr>
            <w:r w:rsidRPr="006251E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6251E8" w:rsidRDefault="00B85660" w:rsidP="00F14EF8">
            <w:pPr>
              <w:jc w:val="right"/>
              <w:rPr>
                <w:sz w:val="22"/>
                <w:szCs w:val="22"/>
              </w:rPr>
            </w:pPr>
            <w:r w:rsidRPr="006251E8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6251E8" w:rsidRDefault="00B85660" w:rsidP="00F14EF8">
            <w:pPr>
              <w:jc w:val="right"/>
              <w:rPr>
                <w:sz w:val="22"/>
                <w:szCs w:val="22"/>
              </w:rPr>
            </w:pPr>
            <w:r w:rsidRPr="006251E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6251E8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1. 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>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7284,8</w:t>
            </w: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в том числе безвозмездные поступления  из вышестоящего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>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3588,6</w:t>
            </w: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Удельный вес собственных доходов в доходах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2.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7304,8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lastRenderedPageBreak/>
              <w:t>Общегосударственные вопросы (функционирование местных администраций)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3418,4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527,3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2058,2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3. Дефицит</w:t>
            </w:r>
            <w:proofErr w:type="gramStart"/>
            <w:r w:rsidRPr="004040DE">
              <w:rPr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4040DE">
              <w:rPr>
                <w:sz w:val="22"/>
                <w:szCs w:val="22"/>
              </w:rPr>
              <w:t>профицит</w:t>
            </w:r>
            <w:proofErr w:type="spellEnd"/>
            <w:r w:rsidRPr="004040DE">
              <w:rPr>
                <w:sz w:val="22"/>
                <w:szCs w:val="22"/>
              </w:rPr>
              <w:t xml:space="preserve"> (+)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</w:t>
            </w:r>
            <w:proofErr w:type="gramStart"/>
            <w:r w:rsidRPr="004040DE">
              <w:rPr>
                <w:sz w:val="22"/>
                <w:szCs w:val="22"/>
              </w:rPr>
              <w:t>.р</w:t>
            </w:r>
            <w:proofErr w:type="gramEnd"/>
            <w:r w:rsidRPr="004040DE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>5. 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Фонд оплаты труда</w:t>
            </w:r>
          </w:p>
          <w:p w:rsidR="00B85660" w:rsidRPr="004040DE" w:rsidRDefault="00B85660" w:rsidP="00F14E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212967,1</w:t>
            </w: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rPr>
                <w:sz w:val="22"/>
                <w:szCs w:val="22"/>
              </w:rPr>
            </w:pPr>
          </w:p>
          <w:p w:rsidR="00B85660" w:rsidRDefault="00B85660" w:rsidP="00F14EF8">
            <w:pPr>
              <w:rPr>
                <w:sz w:val="22"/>
                <w:szCs w:val="22"/>
              </w:rPr>
            </w:pPr>
          </w:p>
          <w:p w:rsidR="00B85660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69597,1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>6. Промышленность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6.Отгружено товаров собственного производства, выполненных работ и услуг собственными силами по полному кругу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82ED7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t>7. Развитие отраслей социальной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Средняя обеспеченность населения  жильем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035FB1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Обслуживаемый жилищный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Число учреждений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Число дневных образовательных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Численность учащихся </w:t>
            </w:r>
            <w:proofErr w:type="gramStart"/>
            <w:r w:rsidRPr="004040DE">
              <w:rPr>
                <w:sz w:val="22"/>
                <w:szCs w:val="22"/>
              </w:rPr>
              <w:t>в</w:t>
            </w:r>
            <w:proofErr w:type="gramEnd"/>
            <w:r w:rsidRPr="004040DE">
              <w:rPr>
                <w:sz w:val="22"/>
                <w:szCs w:val="22"/>
              </w:rPr>
              <w:t xml:space="preserve"> дневных образовательных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center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center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85660" w:rsidRPr="004040DE" w:rsidTr="00F14EF8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Численность детей школьного возраста от 7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Численность педагогического персонала </w:t>
            </w:r>
            <w:proofErr w:type="gramStart"/>
            <w:r w:rsidRPr="004040DE">
              <w:rPr>
                <w:sz w:val="22"/>
                <w:szCs w:val="22"/>
              </w:rPr>
              <w:t>в</w:t>
            </w:r>
            <w:proofErr w:type="gramEnd"/>
            <w:r w:rsidRPr="004040DE">
              <w:rPr>
                <w:sz w:val="22"/>
                <w:szCs w:val="22"/>
              </w:rPr>
              <w:t xml:space="preserve"> общеобразовательных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  <w:r w:rsidRPr="00183169">
              <w:rPr>
                <w:sz w:val="22"/>
                <w:szCs w:val="22"/>
              </w:rPr>
              <w:t xml:space="preserve">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  <w:r w:rsidRPr="0018316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  <w:r w:rsidRPr="0018316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  <w:r w:rsidRPr="0018316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  <w:r w:rsidRPr="0018316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183169" w:rsidRDefault="00B85660" w:rsidP="00F14EF8">
            <w:pPr>
              <w:jc w:val="right"/>
              <w:rPr>
                <w:sz w:val="22"/>
                <w:szCs w:val="22"/>
              </w:rPr>
            </w:pPr>
            <w:r w:rsidRPr="00183169">
              <w:rPr>
                <w:sz w:val="22"/>
                <w:szCs w:val="22"/>
              </w:rPr>
              <w:t>10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Число фельдшерско-акушерских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B85660" w:rsidRPr="004040DE" w:rsidRDefault="00B85660" w:rsidP="00F1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</w:t>
            </w:r>
          </w:p>
        </w:tc>
      </w:tr>
      <w:tr w:rsidR="00B85660" w:rsidRPr="004040DE" w:rsidTr="00F14EF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rPr>
                <w:b/>
                <w:bCs/>
                <w:sz w:val="22"/>
                <w:szCs w:val="22"/>
              </w:rPr>
            </w:pPr>
            <w:r w:rsidRPr="004040DE">
              <w:rPr>
                <w:b/>
                <w:bCs/>
                <w:sz w:val="22"/>
                <w:szCs w:val="22"/>
              </w:rPr>
              <w:lastRenderedPageBreak/>
              <w:t xml:space="preserve">8.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 w:rsidRPr="004040D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2. Общая площадь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EF285A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общая площадь ветхого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Площадь жилищного фонда оборудованная: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 водопроводом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 канализацией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 отоплением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 ваннами (душами)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 </w:t>
            </w:r>
            <w:proofErr w:type="gramStart"/>
            <w:r w:rsidRPr="004040DE">
              <w:rPr>
                <w:sz w:val="22"/>
                <w:szCs w:val="22"/>
              </w:rPr>
              <w:t>оборудованной</w:t>
            </w:r>
            <w:proofErr w:type="gramEnd"/>
            <w:r w:rsidRPr="004040DE">
              <w:rPr>
                <w:sz w:val="22"/>
                <w:szCs w:val="22"/>
              </w:rPr>
              <w:t xml:space="preserve"> газом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 горячим водоснабжением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2914DC" w:rsidRDefault="00B85660" w:rsidP="00F14EF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85660" w:rsidRPr="004040DE" w:rsidTr="00F14EF8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 xml:space="preserve">    напольными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B85660" w:rsidRPr="004040DE" w:rsidTr="00F14EF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rPr>
                <w:sz w:val="22"/>
                <w:szCs w:val="22"/>
              </w:rPr>
            </w:pPr>
            <w:proofErr w:type="gramStart"/>
            <w:r w:rsidRPr="004040DE">
              <w:rPr>
                <w:sz w:val="22"/>
                <w:szCs w:val="22"/>
              </w:rPr>
              <w:t>Площадь</w:t>
            </w:r>
            <w:proofErr w:type="gramEnd"/>
            <w:r w:rsidRPr="004040DE">
              <w:rPr>
                <w:sz w:val="22"/>
                <w:szCs w:val="22"/>
              </w:rPr>
              <w:t xml:space="preserve"> оборудованная одновременно всеми видами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0" w:rsidRPr="004040DE" w:rsidRDefault="00B85660" w:rsidP="00F14EF8">
            <w:pPr>
              <w:jc w:val="center"/>
              <w:rPr>
                <w:sz w:val="22"/>
                <w:szCs w:val="22"/>
              </w:rPr>
            </w:pPr>
            <w:r w:rsidRPr="004040DE">
              <w:rPr>
                <w:sz w:val="22"/>
                <w:szCs w:val="22"/>
              </w:rPr>
              <w:t>тыс.кв</w:t>
            </w:r>
            <w:proofErr w:type="gramStart"/>
            <w:r w:rsidRPr="004040DE">
              <w:rPr>
                <w:sz w:val="22"/>
                <w:szCs w:val="22"/>
              </w:rPr>
              <w:t>.м</w:t>
            </w:r>
            <w:proofErr w:type="gramEnd"/>
            <w:r w:rsidRPr="004040DE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60" w:rsidRPr="004040DE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  <w:r w:rsidRPr="004040D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</w:p>
          <w:p w:rsidR="00B85660" w:rsidRDefault="00B85660" w:rsidP="00F14E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</w:tbl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RANGE!A1:G49"/>
      <w:bookmarkEnd w:id="0"/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Pr="00010B20" w:rsidRDefault="00B85660" w:rsidP="00B8566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10B20">
        <w:rPr>
          <w:rFonts w:ascii="Times New Roman" w:hAnsi="Times New Roman" w:cs="Times New Roman"/>
          <w:bCs w:val="0"/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Куменс</w:t>
      </w:r>
      <w:r w:rsidRPr="00010B20">
        <w:rPr>
          <w:rFonts w:ascii="Times New Roman" w:hAnsi="Times New Roman" w:cs="Times New Roman"/>
          <w:bCs w:val="0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сельское поселение на 2025-2027</w:t>
      </w:r>
      <w:r w:rsidRPr="00010B20">
        <w:rPr>
          <w:rFonts w:ascii="Times New Roman" w:hAnsi="Times New Roman" w:cs="Times New Roman"/>
          <w:bCs w:val="0"/>
          <w:sz w:val="28"/>
          <w:szCs w:val="28"/>
        </w:rPr>
        <w:t xml:space="preserve"> годы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660" w:rsidRPr="009C4B82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Территория Куменского сельского поселения занимает площадь поселения </w:t>
      </w:r>
      <w:r w:rsidRPr="009C4B82">
        <w:rPr>
          <w:rFonts w:ascii="Times New Roman" w:hAnsi="Times New Roman" w:cs="Times New Roman"/>
          <w:b w:val="0"/>
          <w:sz w:val="28"/>
          <w:szCs w:val="28"/>
        </w:rPr>
        <w:t>323,7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га. Территория поселения занята пашнями, лугами и лесами. Экономика поселения базируется на деятельности трех отделений сельскохозяйственных предприятий:</w:t>
      </w:r>
      <w:r>
        <w:rPr>
          <w:sz w:val="28"/>
          <w:szCs w:val="28"/>
        </w:rPr>
        <w:t xml:space="preserve">  </w:t>
      </w:r>
      <w:r w:rsidRPr="008F667F">
        <w:rPr>
          <w:rFonts w:ascii="Times New Roman" w:hAnsi="Times New Roman" w:cs="Times New Roman"/>
          <w:b w:val="0"/>
          <w:sz w:val="28"/>
          <w:szCs w:val="28"/>
        </w:rPr>
        <w:t>3-е отделение «Быково» СПК «Красное Знамя»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9C4B82">
        <w:rPr>
          <w:rFonts w:ascii="Times New Roman" w:hAnsi="Times New Roman" w:cs="Times New Roman"/>
          <w:b w:val="0"/>
          <w:sz w:val="28"/>
          <w:szCs w:val="28"/>
        </w:rPr>
        <w:t>2-е отделение «Заря» ЗАО «Заречье»,</w:t>
      </w:r>
      <w:r w:rsidRPr="009C4B82">
        <w:rPr>
          <w:rFonts w:ascii="Times New Roman" w:hAnsi="Times New Roman" w:cs="Times New Roman"/>
          <w:sz w:val="28"/>
          <w:szCs w:val="28"/>
        </w:rPr>
        <w:t xml:space="preserve"> </w:t>
      </w:r>
      <w:r w:rsidRPr="009C4B82">
        <w:rPr>
          <w:rFonts w:ascii="Times New Roman" w:hAnsi="Times New Roman" w:cs="Times New Roman"/>
          <w:b w:val="0"/>
          <w:sz w:val="28"/>
          <w:szCs w:val="28"/>
        </w:rPr>
        <w:t xml:space="preserve">отделение Рябиново </w:t>
      </w:r>
      <w:proofErr w:type="spellStart"/>
      <w:r w:rsidRPr="009C4B82">
        <w:rPr>
          <w:rFonts w:ascii="Times New Roman" w:hAnsi="Times New Roman" w:cs="Times New Roman"/>
          <w:b w:val="0"/>
          <w:sz w:val="28"/>
          <w:szCs w:val="28"/>
        </w:rPr>
        <w:t>аргокомбината</w:t>
      </w:r>
      <w:proofErr w:type="spellEnd"/>
      <w:r w:rsidRPr="009C4B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C4B82">
        <w:rPr>
          <w:rFonts w:ascii="Times New Roman" w:hAnsi="Times New Roman" w:cs="Times New Roman"/>
          <w:b w:val="0"/>
          <w:sz w:val="28"/>
          <w:szCs w:val="28"/>
        </w:rPr>
        <w:t>племзавод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9C4B82">
        <w:rPr>
          <w:rFonts w:ascii="Times New Roman" w:hAnsi="Times New Roman" w:cs="Times New Roman"/>
          <w:b w:val="0"/>
          <w:sz w:val="28"/>
          <w:szCs w:val="28"/>
        </w:rPr>
        <w:t xml:space="preserve"> «Красногорский».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0A45B3">
        <w:rPr>
          <w:rFonts w:ascii="Times New Roman" w:hAnsi="Times New Roman" w:cs="Times New Roman"/>
          <w:bCs w:val="0"/>
          <w:sz w:val="28"/>
          <w:szCs w:val="28"/>
        </w:rPr>
        <w:t>Структура населения.</w:t>
      </w:r>
    </w:p>
    <w:p w:rsidR="00B85660" w:rsidRPr="000A45B3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Всего населенных пунктов по поселению 20, в которых проживает 850 человек (к 2027 году 711 чел.) Наблюдается убыль населения.  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Численность занятых в экономике в 2027 году составит 287 человек, Численность занятого населения в организациях области в 2023 году-255 человек 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095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Идет отток молодых кадров за пределы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поселения. Многие прописаны у родителей на территории поселения, однако живут и работают за пределами района.</w:t>
      </w:r>
      <w:r w:rsidRPr="00095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Потребность в кадрах постоянная.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Инвестиции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C2C2E">
        <w:rPr>
          <w:rFonts w:ascii="Times New Roman" w:hAnsi="Times New Roman" w:cs="Times New Roman"/>
          <w:b w:val="0"/>
          <w:sz w:val="28"/>
          <w:szCs w:val="28"/>
        </w:rPr>
        <w:t>Объем инвестиций в основной капитал по полному кругу предприятий и ор</w:t>
      </w:r>
      <w:r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4C2C2E">
        <w:rPr>
          <w:rFonts w:ascii="Times New Roman" w:hAnsi="Times New Roman" w:cs="Times New Roman"/>
          <w:b w:val="0"/>
          <w:sz w:val="28"/>
          <w:szCs w:val="28"/>
        </w:rPr>
        <w:t>низаций (включая субъекты малого предпринимательства), по месту фактического вложения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составляет 176394,00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2027 году планируется 177055,00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руб. </w:t>
      </w:r>
    </w:p>
    <w:p w:rsidR="00B85660" w:rsidRPr="004C2C2E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Pr="004C2C2E">
        <w:rPr>
          <w:rFonts w:ascii="Times New Roman" w:hAnsi="Times New Roman" w:cs="Times New Roman"/>
          <w:bCs w:val="0"/>
          <w:sz w:val="28"/>
          <w:szCs w:val="28"/>
        </w:rPr>
        <w:t>Финансы</w:t>
      </w:r>
    </w:p>
    <w:p w:rsidR="00B85660" w:rsidRPr="004C2C2E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</w:p>
    <w:p w:rsidR="00B85660" w:rsidRDefault="00B85660" w:rsidP="00B85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5CC9">
        <w:rPr>
          <w:sz w:val="28"/>
          <w:szCs w:val="28"/>
        </w:rPr>
        <w:t xml:space="preserve">  Прибыль </w:t>
      </w:r>
      <w:r>
        <w:rPr>
          <w:sz w:val="28"/>
          <w:szCs w:val="28"/>
        </w:rPr>
        <w:t>предприятий учитывается в головных предприятиях, находящихся за пределами нашего поселения. На территории поселения находятся отделения предприятий, прибыль которых отдельно не считается.</w:t>
      </w:r>
    </w:p>
    <w:p w:rsidR="00B85660" w:rsidRDefault="00B85660" w:rsidP="00B85660">
      <w:pPr>
        <w:jc w:val="both"/>
        <w:rPr>
          <w:bCs/>
          <w:sz w:val="28"/>
          <w:szCs w:val="28"/>
        </w:rPr>
      </w:pPr>
    </w:p>
    <w:p w:rsidR="00B85660" w:rsidRPr="00346738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46738">
        <w:rPr>
          <w:rFonts w:ascii="Times New Roman" w:hAnsi="Times New Roman" w:cs="Times New Roman"/>
          <w:bCs w:val="0"/>
          <w:sz w:val="28"/>
          <w:szCs w:val="28"/>
        </w:rPr>
        <w:t xml:space="preserve">     Бюджет поселения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B85660" w:rsidRDefault="00B85660" w:rsidP="00B8566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Бюджет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итогам 2023 года по доходам исполнен в сумме 6499,4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при этом удельный вес собственных доходов составил 37,8%. Обеспеченность собственными доходами низкая на протяжении 2022-2024 годов за счет большой доли межбюджетных трансфертов на реализацию проектов, имеющих социальное направление. К 2027 году планируется увеличить долю собственных доходов до 50,7% за счет снижения безвозмездных поступлений и роста налогооблагаемой базы. </w:t>
      </w:r>
    </w:p>
    <w:p w:rsidR="00B85660" w:rsidRDefault="00B85660" w:rsidP="00B85660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</w:rPr>
        <w:t>Расходы бюджета поселения по итогам 2023 года исполнены в сумме 7074,5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уб., 50,1% из которых были направлены на социальную сферу. Бюджет исполнен с дефицитом. </w:t>
      </w:r>
    </w:p>
    <w:p w:rsidR="00B85660" w:rsidRDefault="00B85660" w:rsidP="00B85660">
      <w:pPr>
        <w:jc w:val="both"/>
        <w:rPr>
          <w:sz w:val="32"/>
          <w:szCs w:val="28"/>
        </w:rPr>
      </w:pPr>
      <w:r>
        <w:rPr>
          <w:sz w:val="28"/>
        </w:rPr>
        <w:t xml:space="preserve">       В ожидаемом периоде 2024 года и плановом 2025-2027 годах</w:t>
      </w:r>
      <w:r w:rsidRPr="009E7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бюджета поселения осуществляются </w:t>
      </w:r>
      <w:r>
        <w:rPr>
          <w:sz w:val="28"/>
        </w:rPr>
        <w:t xml:space="preserve">в соответствии с Бюджетным Кодексом РФ, исходя из целей и задач, закрепленных Федеральным законом № 131 от 06.10.2003 «Об общих принципах организации местного самоуправления в Российской Федерации», обеспечивают выполнение расходных обязательств муниципального образования </w:t>
      </w:r>
      <w:proofErr w:type="spellStart"/>
      <w:r>
        <w:rPr>
          <w:sz w:val="28"/>
        </w:rPr>
        <w:t>Вичевское</w:t>
      </w:r>
      <w:proofErr w:type="spellEnd"/>
      <w:r>
        <w:rPr>
          <w:sz w:val="28"/>
        </w:rPr>
        <w:t xml:space="preserve"> сельское поселение.</w:t>
      </w:r>
    </w:p>
    <w:p w:rsidR="00B85660" w:rsidRPr="004A5CC9" w:rsidRDefault="00B85660" w:rsidP="00B85660">
      <w:pPr>
        <w:jc w:val="both"/>
        <w:rPr>
          <w:bCs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 w:rsidRPr="004A5CC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Труд</w:t>
      </w:r>
    </w:p>
    <w:p w:rsidR="00B85660" w:rsidRPr="00050561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5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Хозяйствующих субъекты на территории поселения: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три отделения сельскохозяйственных предприятий</w:t>
      </w:r>
      <w:r w:rsidRPr="0005056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0505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казенных учреждений, 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050561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0505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05056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оценке 2024 года ФОТ составит 375669,3 рублей, среднемесячная заработная плата в расчете на одного работника планируется 58735,0 рублей.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Сельхозпредприятие планирует повышение заработной платы, и в 2027 ФОТ будет составлять 212967,1 рублей, следовательно, заработная плата составит 69597,1 рублей, увеличится в бюджете доход НДФЛ.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660" w:rsidRPr="000A45B3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0A45B3">
        <w:rPr>
          <w:rFonts w:ascii="Times New Roman" w:hAnsi="Times New Roman" w:cs="Times New Roman"/>
          <w:bCs w:val="0"/>
          <w:sz w:val="28"/>
          <w:szCs w:val="28"/>
        </w:rPr>
        <w:t>Социальная  сфера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Обеспеченность населения жильем по нашему поселению на 2027 год составит 27,3 кв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одного жителя. Для принятия граждан на учет по улучшению жилищных условий, сельской Думой принято решение учетной нормы площади жилья на одного </w:t>
      </w:r>
      <w:r w:rsidRPr="00E022E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человека 12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кв. м.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Обслуживаемый жилищный фонд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составяет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30,3 тыс. кв.м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бщей площади.</w:t>
      </w:r>
    </w:p>
    <w:p w:rsidR="00B85660" w:rsidRPr="00760A44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B75991">
        <w:rPr>
          <w:rFonts w:ascii="Times New Roman" w:hAnsi="Times New Roman" w:cs="Times New Roman"/>
          <w:b w:val="0"/>
          <w:bCs w:val="0"/>
          <w:sz w:val="28"/>
          <w:szCs w:val="28"/>
        </w:rPr>
        <w:t>МКОУ НОШ с. Быково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Куменского  района 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одна, обучается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учеников, планируется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2027 году 22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 Численность педагогического персонала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183169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>человек.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>Численность детей школьного возраста от 7 до 18 лет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122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60A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(Дети частично обучаются в МКОУ СОШ п.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Кумены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). Детского сада на территории поселения нет, дети посещают дошкольные группы при </w:t>
      </w:r>
      <w:r w:rsidRPr="00B75991">
        <w:rPr>
          <w:rFonts w:ascii="Times New Roman" w:hAnsi="Times New Roman" w:cs="Times New Roman"/>
          <w:b w:val="0"/>
          <w:bCs w:val="0"/>
          <w:sz w:val="28"/>
          <w:szCs w:val="28"/>
        </w:rPr>
        <w:t>МКОУ НОШ с. Быково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Рябиново и с. Быково Куменского района.</w:t>
      </w:r>
      <w:r w:rsidRPr="00B759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Обслуживают население два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С. Быково и с. Рябиново.</w:t>
      </w:r>
    </w:p>
    <w:p w:rsidR="00B85660" w:rsidRPr="00E022EB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98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Pr="00E53989">
        <w:rPr>
          <w:rFonts w:ascii="Times New Roman" w:hAnsi="Times New Roman" w:cs="Times New Roman"/>
          <w:bCs w:val="0"/>
          <w:sz w:val="28"/>
          <w:szCs w:val="28"/>
        </w:rPr>
        <w:t>Жилищный фонд.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В эксплуатацию в 2024 году домов не введено. На территории поселения в настоящее время имеется свободное жилье.</w:t>
      </w:r>
    </w:p>
    <w:p w:rsidR="00B85660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B85660" w:rsidRPr="00BC5CE4" w:rsidRDefault="00B85660" w:rsidP="00B85660">
      <w:pPr>
        <w:pStyle w:val="a3"/>
        <w:jc w:val="both"/>
        <w:rPr>
          <w:sz w:val="28"/>
          <w:szCs w:val="28"/>
        </w:rPr>
      </w:pPr>
    </w:p>
    <w:p w:rsidR="00B85660" w:rsidRPr="000A45B3" w:rsidRDefault="00B85660" w:rsidP="00B8566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45B3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лава поселения                          Н.И.Шибанов</w:t>
      </w:r>
    </w:p>
    <w:p w:rsidR="00B85660" w:rsidRDefault="00B85660"/>
    <w:sectPr w:rsidR="00B85660" w:rsidSect="00DF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44C7"/>
    <w:rsid w:val="00004DD9"/>
    <w:rsid w:val="00176C67"/>
    <w:rsid w:val="004C1FD2"/>
    <w:rsid w:val="00510C74"/>
    <w:rsid w:val="00825B74"/>
    <w:rsid w:val="00937C24"/>
    <w:rsid w:val="00B85660"/>
    <w:rsid w:val="00BC44C7"/>
    <w:rsid w:val="00D60577"/>
    <w:rsid w:val="00DF5C12"/>
    <w:rsid w:val="00EF7DC1"/>
    <w:rsid w:val="00FD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4C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C44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B856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0C6E-AA1D-4A8D-8AC9-6F75FDBE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4</cp:revision>
  <cp:lastPrinted>2024-12-20T06:37:00Z</cp:lastPrinted>
  <dcterms:created xsi:type="dcterms:W3CDTF">2024-12-26T07:45:00Z</dcterms:created>
  <dcterms:modified xsi:type="dcterms:W3CDTF">2025-01-10T09:52:00Z</dcterms:modified>
</cp:coreProperties>
</file>